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92A" w:rsidRDefault="007A792A" w:rsidP="004F779B">
      <w:pPr>
        <w:spacing w:before="1920"/>
        <w:rPr>
          <w:rFonts w:ascii="Arial Black" w:hAnsi="Arial Black"/>
          <w:sz w:val="23"/>
        </w:rPr>
      </w:pPr>
      <w:r>
        <w:rPr>
          <w:rFonts w:ascii="Arial Black" w:hAnsi="Arial Black"/>
          <w:sz w:val="23"/>
        </w:rPr>
        <w:t>M</w:t>
      </w:r>
      <w:r w:rsidR="009C61FD">
        <w:rPr>
          <w:rFonts w:ascii="Arial Black" w:hAnsi="Arial Black"/>
          <w:sz w:val="23"/>
        </w:rPr>
        <w:t>EMORANDUM</w:t>
      </w:r>
    </w:p>
    <w:p w:rsidR="007A792A" w:rsidRDefault="007A792A" w:rsidP="007E3E6A">
      <w:pPr>
        <w:tabs>
          <w:tab w:val="left" w:pos="1309"/>
        </w:tabs>
        <w:spacing w:before="240"/>
        <w:ind w:left="1309" w:hanging="1309"/>
        <w:rPr>
          <w:sz w:val="22"/>
        </w:rPr>
      </w:pPr>
      <w:r>
        <w:rPr>
          <w:rFonts w:ascii="Arial" w:hAnsi="Arial"/>
          <w:sz w:val="20"/>
        </w:rPr>
        <w:t>To:</w:t>
      </w:r>
      <w:r>
        <w:rPr>
          <w:rFonts w:ascii="Arial" w:hAnsi="Arial"/>
          <w:sz w:val="20"/>
        </w:rPr>
        <w:tab/>
      </w:r>
      <w:r w:rsidR="00C071FB">
        <w:rPr>
          <w:sz w:val="22"/>
        </w:rPr>
        <w:t>All Field Service</w:t>
      </w:r>
    </w:p>
    <w:p w:rsidR="007A792A" w:rsidRDefault="007A792A" w:rsidP="007E3E6A">
      <w:pPr>
        <w:tabs>
          <w:tab w:val="left" w:pos="1309"/>
        </w:tabs>
        <w:spacing w:before="240"/>
        <w:ind w:left="1309" w:hanging="1309"/>
        <w:rPr>
          <w:rFonts w:ascii="Arial" w:hAnsi="Arial"/>
          <w:sz w:val="20"/>
        </w:rPr>
      </w:pPr>
      <w:r>
        <w:rPr>
          <w:rFonts w:ascii="Arial" w:hAnsi="Arial"/>
          <w:sz w:val="20"/>
        </w:rPr>
        <w:t>Date:</w:t>
      </w:r>
      <w:r>
        <w:rPr>
          <w:sz w:val="22"/>
        </w:rPr>
        <w:tab/>
      </w:r>
      <w:r w:rsidR="0030105F">
        <w:rPr>
          <w:sz w:val="22"/>
        </w:rPr>
        <w:fldChar w:fldCharType="begin"/>
      </w:r>
      <w:r w:rsidR="00792ECD">
        <w:rPr>
          <w:sz w:val="22"/>
        </w:rPr>
        <w:instrText xml:space="preserve"> DATE \@ "MMMM d, yyyy" </w:instrText>
      </w:r>
      <w:r w:rsidR="0030105F">
        <w:rPr>
          <w:sz w:val="22"/>
        </w:rPr>
        <w:fldChar w:fldCharType="separate"/>
      </w:r>
      <w:r w:rsidR="00E529E6">
        <w:rPr>
          <w:noProof/>
          <w:sz w:val="22"/>
        </w:rPr>
        <w:t>May 12, 2011</w:t>
      </w:r>
      <w:r w:rsidR="0030105F">
        <w:rPr>
          <w:sz w:val="22"/>
        </w:rPr>
        <w:fldChar w:fldCharType="end"/>
      </w:r>
    </w:p>
    <w:p w:rsidR="007A792A" w:rsidRPr="00C071FB" w:rsidRDefault="007A792A" w:rsidP="00C071FB">
      <w:pPr>
        <w:tabs>
          <w:tab w:val="left" w:pos="1309"/>
        </w:tabs>
        <w:spacing w:before="240"/>
        <w:ind w:left="1309" w:hanging="1309"/>
        <w:rPr>
          <w:rFonts w:ascii="Arial" w:hAnsi="Arial"/>
          <w:sz w:val="20"/>
        </w:rPr>
      </w:pPr>
      <w:r>
        <w:rPr>
          <w:rFonts w:ascii="Arial" w:hAnsi="Arial"/>
          <w:sz w:val="20"/>
        </w:rPr>
        <w:t>Re:</w:t>
      </w:r>
      <w:r w:rsidR="009C61FD">
        <w:rPr>
          <w:sz w:val="22"/>
        </w:rPr>
        <w:tab/>
        <w:t xml:space="preserve">LABOR/TRAVEL BILLING </w:t>
      </w:r>
      <w:r w:rsidR="00F755B1">
        <w:rPr>
          <w:sz w:val="22"/>
        </w:rPr>
        <w:t xml:space="preserve">                      </w:t>
      </w:r>
    </w:p>
    <w:p w:rsidR="007A792A" w:rsidRDefault="007A792A" w:rsidP="007E3E6A">
      <w:pPr>
        <w:rPr>
          <w:sz w:val="22"/>
        </w:rPr>
      </w:pPr>
    </w:p>
    <w:p w:rsidR="00281E40" w:rsidRDefault="00C071FB" w:rsidP="00FC2561">
      <w:pPr>
        <w:pStyle w:val="BodyText"/>
        <w:spacing w:line="240" w:lineRule="auto"/>
      </w:pPr>
      <w:r>
        <w:t>The following are the procedures</w:t>
      </w:r>
      <w:r w:rsidR="00DF4B28">
        <w:t>/</w:t>
      </w:r>
      <w:r>
        <w:t xml:space="preserve">guidelines that should be used when completing service reports </w:t>
      </w:r>
      <w:r w:rsidR="00DF4B28">
        <w:t>and accounting for hours worked/</w:t>
      </w:r>
      <w:r>
        <w:t>billed</w:t>
      </w:r>
      <w:r w:rsidR="00AD35D5">
        <w:t xml:space="preserve"> on Service Reports</w:t>
      </w:r>
      <w:r>
        <w:t>:</w:t>
      </w:r>
    </w:p>
    <w:p w:rsidR="00C071FB" w:rsidRDefault="00C071FB" w:rsidP="00FC2561">
      <w:pPr>
        <w:pStyle w:val="BodyText"/>
        <w:spacing w:line="240" w:lineRule="auto"/>
      </w:pPr>
    </w:p>
    <w:p w:rsidR="00C071FB" w:rsidRPr="00875C7D" w:rsidRDefault="00DF4B28" w:rsidP="00FC2561">
      <w:pPr>
        <w:pStyle w:val="BodyText"/>
        <w:spacing w:line="240" w:lineRule="auto"/>
        <w:rPr>
          <w:b/>
          <w:u w:val="single"/>
        </w:rPr>
      </w:pPr>
      <w:r w:rsidRPr="00875C7D">
        <w:rPr>
          <w:b/>
          <w:u w:val="single"/>
        </w:rPr>
        <w:t>Travel Charge Guidelines</w:t>
      </w:r>
    </w:p>
    <w:p w:rsidR="00DF4B28" w:rsidRDefault="00C071FB" w:rsidP="00875C7D">
      <w:pPr>
        <w:pStyle w:val="BodyText"/>
        <w:numPr>
          <w:ilvl w:val="0"/>
          <w:numId w:val="2"/>
        </w:numPr>
        <w:spacing w:line="240" w:lineRule="auto"/>
      </w:pPr>
      <w:r>
        <w:t>Service Rep</w:t>
      </w:r>
      <w:r w:rsidR="00AD35D5">
        <w:t>s</w:t>
      </w:r>
      <w:r>
        <w:t xml:space="preserve"> should bill from the point of origin (home, starting point) to the next </w:t>
      </w:r>
      <w:r w:rsidR="00612570">
        <w:t>account</w:t>
      </w:r>
      <w:r>
        <w:t xml:space="preserve"> or back to the point of origin</w:t>
      </w:r>
      <w:r w:rsidR="00875C7D">
        <w:t xml:space="preserve"> depending of which occurred</w:t>
      </w:r>
      <w:r>
        <w:t>.</w:t>
      </w:r>
    </w:p>
    <w:p w:rsidR="00DF4B28" w:rsidRDefault="00DF4B28" w:rsidP="00C071FB">
      <w:pPr>
        <w:pStyle w:val="BodyText"/>
        <w:numPr>
          <w:ilvl w:val="0"/>
          <w:numId w:val="2"/>
        </w:numPr>
        <w:spacing w:line="240" w:lineRule="auto"/>
      </w:pPr>
      <w:r>
        <w:t>For external customers, no service call should exceed 4 hours of travel</w:t>
      </w:r>
    </w:p>
    <w:p w:rsidR="00875C7D" w:rsidRDefault="00875C7D" w:rsidP="00C071FB">
      <w:pPr>
        <w:pStyle w:val="BodyText"/>
        <w:numPr>
          <w:ilvl w:val="0"/>
          <w:numId w:val="2"/>
        </w:numPr>
        <w:spacing w:line="240" w:lineRule="auto"/>
      </w:pPr>
      <w:r>
        <w:t>Field Service Reps and customers can negotiate terms of travel based on the urgency of the repair and the customer’s needs. (</w:t>
      </w:r>
      <w:proofErr w:type="spellStart"/>
      <w:r>
        <w:t>ie</w:t>
      </w:r>
      <w:proofErr w:type="spellEnd"/>
      <w:r>
        <w:t>. If a customer can wait until there are other calls in the area we may be able to reduce the travel charge because they would split the travel charge with another customer(s))</w:t>
      </w:r>
    </w:p>
    <w:p w:rsidR="00DF4B28" w:rsidRDefault="00875C7D" w:rsidP="00C071FB">
      <w:pPr>
        <w:pStyle w:val="BodyText"/>
        <w:numPr>
          <w:ilvl w:val="0"/>
          <w:numId w:val="2"/>
        </w:numPr>
        <w:spacing w:line="240" w:lineRule="auto"/>
      </w:pPr>
      <w:r>
        <w:t>When there</w:t>
      </w:r>
      <w:r w:rsidR="00DF4B28">
        <w:t xml:space="preserve"> are multiple internal customer calls after the first call of the day the travel between accounts should be split between</w:t>
      </w:r>
      <w:r>
        <w:t xml:space="preserve"> the service reports</w:t>
      </w:r>
    </w:p>
    <w:p w:rsidR="00875C7D" w:rsidRDefault="00875C7D" w:rsidP="00C071FB">
      <w:pPr>
        <w:pStyle w:val="BodyText"/>
        <w:numPr>
          <w:ilvl w:val="0"/>
          <w:numId w:val="2"/>
        </w:numPr>
        <w:spacing w:line="240" w:lineRule="auto"/>
      </w:pPr>
      <w:r>
        <w:t>The total number of travel hours for the entire day should never exceed those actually traveled</w:t>
      </w:r>
    </w:p>
    <w:p w:rsidR="00875C7D" w:rsidRDefault="00875C7D" w:rsidP="00875C7D">
      <w:pPr>
        <w:pStyle w:val="BodyText"/>
        <w:spacing w:line="240" w:lineRule="auto"/>
      </w:pPr>
    </w:p>
    <w:p w:rsidR="00875C7D" w:rsidRDefault="00875C7D" w:rsidP="00875C7D">
      <w:pPr>
        <w:pStyle w:val="BodyText"/>
        <w:spacing w:line="240" w:lineRule="auto"/>
        <w:rPr>
          <w:b/>
          <w:u w:val="single"/>
        </w:rPr>
      </w:pPr>
      <w:r w:rsidRPr="00875C7D">
        <w:rPr>
          <w:b/>
          <w:u w:val="single"/>
        </w:rPr>
        <w:t>Labor Charge Guidelines</w:t>
      </w:r>
    </w:p>
    <w:p w:rsidR="00875C7D" w:rsidRPr="00AD35D5" w:rsidRDefault="00AD35D5" w:rsidP="00875C7D">
      <w:pPr>
        <w:pStyle w:val="BodyText"/>
        <w:numPr>
          <w:ilvl w:val="0"/>
          <w:numId w:val="3"/>
        </w:numPr>
        <w:spacing w:line="240" w:lineRule="auto"/>
        <w:rPr>
          <w:b/>
          <w:u w:val="single"/>
        </w:rPr>
      </w:pPr>
      <w:r>
        <w:t>Service Reps should bill for services rendered which should include: troubleshooting/diagnosing time, repair time, wait t</w:t>
      </w:r>
      <w:r w:rsidR="009C61FD">
        <w:t xml:space="preserve">ime and </w:t>
      </w:r>
      <w:r>
        <w:t>documentation time</w:t>
      </w:r>
    </w:p>
    <w:p w:rsidR="00274D47" w:rsidRDefault="00274D47" w:rsidP="00FC2561">
      <w:pPr>
        <w:pStyle w:val="BodyText"/>
        <w:spacing w:line="240" w:lineRule="auto"/>
      </w:pPr>
    </w:p>
    <w:p w:rsidR="00274D47" w:rsidRPr="00AD35D5" w:rsidRDefault="00AD35D5" w:rsidP="00FC2561">
      <w:pPr>
        <w:pStyle w:val="BodyText"/>
        <w:spacing w:line="240" w:lineRule="auto"/>
        <w:rPr>
          <w:b/>
          <w:u w:val="single"/>
        </w:rPr>
      </w:pPr>
      <w:r w:rsidRPr="00AD35D5">
        <w:rPr>
          <w:b/>
          <w:u w:val="single"/>
        </w:rPr>
        <w:t>Overall Guidelines</w:t>
      </w:r>
    </w:p>
    <w:p w:rsidR="00AD35D5" w:rsidRDefault="00AD35D5" w:rsidP="00AD35D5">
      <w:pPr>
        <w:pStyle w:val="BodyText"/>
        <w:numPr>
          <w:ilvl w:val="0"/>
          <w:numId w:val="4"/>
        </w:numPr>
        <w:spacing w:line="240" w:lineRule="auto"/>
      </w:pPr>
      <w:r>
        <w:t xml:space="preserve">Hours </w:t>
      </w:r>
      <w:r w:rsidR="009C61FD">
        <w:t>worked</w:t>
      </w:r>
      <w:r>
        <w:t xml:space="preserve"> = Hours </w:t>
      </w:r>
      <w:r w:rsidR="009C61FD">
        <w:t>on Service Reports</w:t>
      </w:r>
      <w:r>
        <w:t xml:space="preserve">; All hours submitted in </w:t>
      </w:r>
      <w:r w:rsidR="00D56579">
        <w:t xml:space="preserve">Attendance Enterprise should equal all hours submitted through </w:t>
      </w:r>
      <w:proofErr w:type="spellStart"/>
      <w:r w:rsidR="00D56579">
        <w:t>GoOrder</w:t>
      </w:r>
      <w:proofErr w:type="spellEnd"/>
      <w:r w:rsidR="00D56579">
        <w:t xml:space="preserve"> for that day (Labor + Travel), unless the shortfall is due to the 4 hour maximum for travel (for external customers)</w:t>
      </w:r>
    </w:p>
    <w:p w:rsidR="00D56579" w:rsidRPr="00875C7D" w:rsidRDefault="00D56579" w:rsidP="00D56579">
      <w:pPr>
        <w:pStyle w:val="BodyText"/>
        <w:numPr>
          <w:ilvl w:val="0"/>
          <w:numId w:val="4"/>
        </w:numPr>
        <w:spacing w:line="240" w:lineRule="auto"/>
        <w:rPr>
          <w:b/>
          <w:u w:val="single"/>
        </w:rPr>
      </w:pPr>
      <w:r>
        <w:t>Service Reps should use especially good judgment in charging external customers for their labor and if excessive time is needed to fix the product and should be stated in the service report why the repair took longer than normal (</w:t>
      </w:r>
      <w:proofErr w:type="spellStart"/>
      <w:r>
        <w:t>ie</w:t>
      </w:r>
      <w:proofErr w:type="spellEnd"/>
      <w:r>
        <w:t>. product was in pieces when found, customer couldn’t find the unit and asked me to wait, customer asked to wait for access to the product, etc)</w:t>
      </w:r>
    </w:p>
    <w:p w:rsidR="00D56579" w:rsidRDefault="00D56579" w:rsidP="009C61FD">
      <w:pPr>
        <w:pStyle w:val="BodyText"/>
        <w:numPr>
          <w:ilvl w:val="0"/>
          <w:numId w:val="4"/>
        </w:numPr>
        <w:spacing w:line="240" w:lineRule="auto"/>
      </w:pPr>
      <w:r>
        <w:t>Service Reports should be written so that they are easy to understand by the customer and other Stryker staff who may audit and review the document</w:t>
      </w:r>
      <w:r w:rsidR="009C61FD">
        <w:t xml:space="preserve"> (communicate facts and circumstances that make the service report easier to understand</w:t>
      </w:r>
      <w:r w:rsidR="00CD08DE">
        <w:t xml:space="preserve"> from a billing standpoint</w:t>
      </w:r>
      <w:r w:rsidR="009C61FD">
        <w:t>)</w:t>
      </w:r>
    </w:p>
    <w:p w:rsidR="00887D74" w:rsidRDefault="00887D74" w:rsidP="00FC2561">
      <w:pPr>
        <w:pStyle w:val="BodyText"/>
        <w:spacing w:line="240" w:lineRule="auto"/>
      </w:pPr>
    </w:p>
    <w:p w:rsidR="00333F14" w:rsidRDefault="00494E8B" w:rsidP="00FC2561">
      <w:pPr>
        <w:pStyle w:val="BodyText"/>
        <w:spacing w:line="240" w:lineRule="auto"/>
      </w:pPr>
      <w:r>
        <w:t xml:space="preserve">Please feel free to contact me </w:t>
      </w:r>
      <w:r w:rsidR="003E5F0C">
        <w:t xml:space="preserve">or your Region Manager </w:t>
      </w:r>
      <w:r>
        <w:t>with any questions.</w:t>
      </w:r>
    </w:p>
    <w:p w:rsidR="00333F14" w:rsidRDefault="00333F14" w:rsidP="00FC2561">
      <w:pPr>
        <w:pStyle w:val="BodyText"/>
        <w:spacing w:line="240" w:lineRule="auto"/>
      </w:pPr>
    </w:p>
    <w:p w:rsidR="00FC2561" w:rsidRDefault="003E5F0C" w:rsidP="00FC2561">
      <w:pPr>
        <w:pStyle w:val="BodyText"/>
        <w:spacing w:line="240" w:lineRule="auto"/>
      </w:pPr>
      <w:r>
        <w:tab/>
      </w:r>
      <w:r>
        <w:tab/>
      </w:r>
      <w:r>
        <w:tab/>
      </w:r>
      <w:r>
        <w:tab/>
      </w:r>
      <w:r>
        <w:tab/>
      </w:r>
      <w:r>
        <w:tab/>
        <w:t>Jim Dorff</w:t>
      </w:r>
    </w:p>
    <w:sectPr w:rsidR="00FC2561" w:rsidSect="004F779B">
      <w:footerReference w:type="even" r:id="rId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A26" w:rsidRDefault="00411A26">
      <w:r>
        <w:separator/>
      </w:r>
    </w:p>
  </w:endnote>
  <w:endnote w:type="continuationSeparator" w:id="0">
    <w:p w:rsidR="00411A26" w:rsidRDefault="00411A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F8" w:rsidRDefault="0030105F">
    <w:pPr>
      <w:pStyle w:val="Footer"/>
      <w:framePr w:wrap="around" w:vAnchor="text" w:hAnchor="margin" w:xAlign="right" w:y="1"/>
      <w:rPr>
        <w:rStyle w:val="PageNumber"/>
      </w:rPr>
    </w:pPr>
    <w:r>
      <w:rPr>
        <w:rStyle w:val="PageNumber"/>
      </w:rPr>
      <w:fldChar w:fldCharType="begin"/>
    </w:r>
    <w:r w:rsidR="00D13FF8">
      <w:rPr>
        <w:rStyle w:val="PageNumber"/>
      </w:rPr>
      <w:instrText xml:space="preserve">PAGE  </w:instrText>
    </w:r>
    <w:r>
      <w:rPr>
        <w:rStyle w:val="PageNumber"/>
      </w:rPr>
      <w:fldChar w:fldCharType="end"/>
    </w:r>
  </w:p>
  <w:p w:rsidR="00D13FF8" w:rsidRDefault="00D13FF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F8" w:rsidRDefault="00D13FF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A26" w:rsidRDefault="00411A26">
      <w:r>
        <w:separator/>
      </w:r>
    </w:p>
  </w:footnote>
  <w:footnote w:type="continuationSeparator" w:id="0">
    <w:p w:rsidR="00411A26" w:rsidRDefault="00411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F8" w:rsidRDefault="0030105F">
    <w:pPr>
      <w:pStyle w:val="Header"/>
    </w:pPr>
    <w:r>
      <w:rPr>
        <w:noProof/>
        <w:lang w:eastAsia="en-US"/>
      </w:rPr>
      <w:pict>
        <v:shapetype id="_x0000_t202" coordsize="21600,21600" o:spt="202" path="m,l,21600r21600,l21600,xe">
          <v:stroke joinstyle="miter"/>
          <v:path gradientshapeok="t" o:connecttype="rect"/>
        </v:shapetype>
        <v:shape id="_x0000_s2049" type="#_x0000_t202" style="position:absolute;margin-left:318.6pt;margin-top:68.85pt;width:172.55pt;height:18pt;z-index:-251660288;mso-wrap-edited:f" wrapcoords="-108 0 -108 21240 21600 21240 21600 0 -108 0" filled="f" stroked="f">
          <v:textbox style="mso-next-textbox:#_x0000_s2049" inset="0,0,0,0">
            <w:txbxContent>
              <w:p w:rsidR="00D13FF8" w:rsidRDefault="00D13FF8" w:rsidP="004F779B">
                <w:pPr>
                  <w:jc w:val="center"/>
                  <w:rPr>
                    <w:rFonts w:ascii="Arial Black" w:hAnsi="Arial Black"/>
                    <w:sz w:val="18"/>
                  </w:rPr>
                </w:pPr>
                <w:r>
                  <w:rPr>
                    <w:rFonts w:ascii="Arial Black" w:hAnsi="Arial Black"/>
                    <w:sz w:val="18"/>
                  </w:rPr>
                  <w:t>Medical</w:t>
                </w:r>
                <w:r w:rsidRPr="00696F37">
                  <w:rPr>
                    <w:rFonts w:ascii="Arial Black" w:hAnsi="Arial Black"/>
                    <w:sz w:val="18"/>
                    <w:bdr w:val="single" w:sz="4" w:space="0" w:color="000000"/>
                  </w:rPr>
                  <w:t xml:space="preserve"> </w:t>
                </w:r>
              </w:p>
            </w:txbxContent>
          </v:textbox>
        </v:shape>
      </w:pict>
    </w:r>
    <w:r w:rsidR="003E5F0C">
      <w:rPr>
        <w:noProof/>
        <w:lang w:eastAsia="en-US"/>
      </w:rPr>
      <w:drawing>
        <wp:anchor distT="0" distB="0" distL="114300" distR="114300" simplePos="0" relativeHeight="251659264" behindDoc="0" locked="0" layoutInCell="1" allowOverlap="1">
          <wp:simplePos x="0" y="0"/>
          <wp:positionH relativeFrom="column">
            <wp:posOffset>5370195</wp:posOffset>
          </wp:positionH>
          <wp:positionV relativeFrom="paragraph">
            <wp:posOffset>436880</wp:posOffset>
          </wp:positionV>
          <wp:extent cx="1092200" cy="266700"/>
          <wp:effectExtent l="19050" t="0" r="0" b="0"/>
          <wp:wrapNone/>
          <wp:docPr id="23" name="Picture 23" descr="7-13STRYKE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7-13STRYKER-1-2"/>
                  <pic:cNvPicPr>
                    <a:picLocks noChangeAspect="1" noChangeArrowheads="1"/>
                  </pic:cNvPicPr>
                </pic:nvPicPr>
                <pic:blipFill>
                  <a:blip r:embed="rId1"/>
                  <a:srcRect/>
                  <a:stretch>
                    <a:fillRect/>
                  </a:stretch>
                </pic:blipFill>
                <pic:spPr bwMode="auto">
                  <a:xfrm>
                    <a:off x="0" y="0"/>
                    <a:ext cx="1092200" cy="266700"/>
                  </a:xfrm>
                  <a:prstGeom prst="rect">
                    <a:avLst/>
                  </a:prstGeom>
                  <a:noFill/>
                  <a:ln w="9525">
                    <a:noFill/>
                    <a:miter lim="800000"/>
                    <a:headEnd/>
                    <a:tailEnd/>
                  </a:ln>
                </pic:spPr>
              </pic:pic>
            </a:graphicData>
          </a:graphic>
        </wp:anchor>
      </w:drawing>
    </w:r>
    <w:r>
      <w:rPr>
        <w:noProof/>
        <w:lang w:eastAsia="en-US"/>
      </w:rPr>
      <w:pict>
        <v:shape id="_x0000_s2051" type="#_x0000_t202" style="position:absolute;margin-left:69.5pt;margin-top:45.1pt;width:146.85pt;height:86.75pt;z-index:-251658240;mso-position-horizontal-relative:page;mso-position-vertical-relative:page" filled="f" stroked="f">
          <v:textbox style="mso-next-textbox:#_x0000_s2051" inset="3.6pt,0,0,0">
            <w:txbxContent>
              <w:p w:rsidR="00D13FF8" w:rsidRDefault="00E160C1" w:rsidP="004F779B">
                <w:pPr>
                  <w:autoSpaceDE w:val="0"/>
                  <w:autoSpaceDN w:val="0"/>
                  <w:adjustRightInd w:val="0"/>
                  <w:rPr>
                    <w:rFonts w:ascii="Minion-Regular" w:hAnsi="Minion-Regular"/>
                    <w:b/>
                    <w:sz w:val="16"/>
                  </w:rPr>
                </w:pPr>
                <w:r>
                  <w:rPr>
                    <w:rFonts w:ascii="Minion-Regular" w:hAnsi="Minion-Regular"/>
                    <w:b/>
                    <w:sz w:val="16"/>
                  </w:rPr>
                  <w:t>Jim Dorff</w:t>
                </w:r>
              </w:p>
              <w:p w:rsidR="00D13FF8" w:rsidRDefault="00E160C1" w:rsidP="004F779B">
                <w:pPr>
                  <w:autoSpaceDE w:val="0"/>
                  <w:autoSpaceDN w:val="0"/>
                  <w:adjustRightInd w:val="0"/>
                  <w:rPr>
                    <w:rFonts w:ascii="Minion-Regular" w:hAnsi="Minion-Regular"/>
                    <w:sz w:val="16"/>
                  </w:rPr>
                </w:pPr>
                <w:r>
                  <w:rPr>
                    <w:rFonts w:ascii="Minion-Regular" w:hAnsi="Minion-Regular"/>
                    <w:sz w:val="16"/>
                  </w:rPr>
                  <w:t xml:space="preserve">Associate Director of Field </w:t>
                </w:r>
                <w:r w:rsidR="00D13FF8">
                  <w:rPr>
                    <w:rFonts w:ascii="Minion-Regular" w:hAnsi="Minion-Regular"/>
                    <w:sz w:val="16"/>
                  </w:rPr>
                  <w:t xml:space="preserve">Service </w:t>
                </w:r>
              </w:p>
              <w:p w:rsidR="00D13FF8" w:rsidRDefault="00D13FF8" w:rsidP="004F779B">
                <w:pPr>
                  <w:autoSpaceDE w:val="0"/>
                  <w:autoSpaceDN w:val="0"/>
                  <w:adjustRightInd w:val="0"/>
                  <w:spacing w:after="160"/>
                  <w:rPr>
                    <w:rFonts w:ascii="Minion-Regular" w:hAnsi="Minion-Regular"/>
                    <w:sz w:val="16"/>
                  </w:rPr>
                </w:pPr>
              </w:p>
              <w:p w:rsidR="00D13FF8" w:rsidRPr="0052033C" w:rsidRDefault="00D13FF8" w:rsidP="007826DF">
                <w:pPr>
                  <w:autoSpaceDE w:val="0"/>
                  <w:autoSpaceDN w:val="0"/>
                  <w:adjustRightInd w:val="0"/>
                  <w:rPr>
                    <w:rFonts w:ascii="Minion-Regular" w:hAnsi="Minion-Regular"/>
                    <w:sz w:val="16"/>
                    <w:lang w:val="fr-FR"/>
                  </w:rPr>
                </w:pPr>
                <w:r w:rsidRPr="0052033C">
                  <w:rPr>
                    <w:rFonts w:ascii="Minion-Regular" w:hAnsi="Minion-Regular"/>
                    <w:sz w:val="16"/>
                    <w:lang w:val="fr-FR"/>
                  </w:rPr>
                  <w:t>3</w:t>
                </w:r>
                <w:r>
                  <w:rPr>
                    <w:rFonts w:ascii="Minion-Regular" w:hAnsi="Minion-Regular"/>
                    <w:sz w:val="16"/>
                    <w:lang w:val="fr-FR"/>
                  </w:rPr>
                  <w:t xml:space="preserve">800 E. Centre </w:t>
                </w:r>
                <w:r w:rsidRPr="0052033C">
                  <w:rPr>
                    <w:rFonts w:ascii="Minion-Regular" w:hAnsi="Minion-Regular"/>
                    <w:sz w:val="16"/>
                    <w:lang w:val="fr-FR"/>
                  </w:rPr>
                  <w:t>Ave.</w:t>
                </w:r>
              </w:p>
              <w:p w:rsidR="00D13FF8" w:rsidRPr="0052033C" w:rsidRDefault="00D13FF8" w:rsidP="007826DF">
                <w:pPr>
                  <w:autoSpaceDE w:val="0"/>
                  <w:autoSpaceDN w:val="0"/>
                  <w:adjustRightInd w:val="0"/>
                  <w:rPr>
                    <w:rFonts w:ascii="Minion-Regular" w:hAnsi="Minion-Regular"/>
                    <w:sz w:val="16"/>
                    <w:lang w:val="fr-FR"/>
                  </w:rPr>
                </w:pPr>
                <w:r w:rsidRPr="0052033C">
                  <w:rPr>
                    <w:rFonts w:ascii="Minion-Regular" w:hAnsi="Minion-Regular"/>
                    <w:sz w:val="16"/>
                    <w:lang w:val="fr-FR"/>
                  </w:rPr>
                  <w:t>Portage, MI 49002</w:t>
                </w:r>
              </w:p>
              <w:p w:rsidR="00E160C1" w:rsidRDefault="00D13FF8" w:rsidP="007826DF">
                <w:pPr>
                  <w:autoSpaceDE w:val="0"/>
                  <w:autoSpaceDN w:val="0"/>
                  <w:adjustRightInd w:val="0"/>
                  <w:rPr>
                    <w:rFonts w:ascii="Minion-Regular" w:hAnsi="Minion-Regular"/>
                    <w:sz w:val="16"/>
                    <w:lang w:val="fr-FR"/>
                  </w:rPr>
                </w:pPr>
                <w:r>
                  <w:rPr>
                    <w:rFonts w:ascii="Minion-Regular" w:hAnsi="Minion-Regular"/>
                    <w:sz w:val="16"/>
                    <w:lang w:val="fr-FR"/>
                  </w:rPr>
                  <w:t>t : 269.324.6</w:t>
                </w:r>
                <w:r w:rsidR="00E160C1">
                  <w:rPr>
                    <w:rFonts w:ascii="Minion-Regular" w:hAnsi="Minion-Regular"/>
                    <w:sz w:val="16"/>
                    <w:lang w:val="fr-FR"/>
                  </w:rPr>
                  <w:t>988</w:t>
                </w:r>
              </w:p>
              <w:p w:rsidR="00E160C1" w:rsidRDefault="0030105F" w:rsidP="007826DF">
                <w:pPr>
                  <w:autoSpaceDE w:val="0"/>
                  <w:autoSpaceDN w:val="0"/>
                  <w:adjustRightInd w:val="0"/>
                  <w:rPr>
                    <w:rFonts w:ascii="Minion-Regular" w:hAnsi="Minion-Regular"/>
                    <w:sz w:val="16"/>
                    <w:lang w:val="fr-FR"/>
                  </w:rPr>
                </w:pPr>
                <w:hyperlink r:id="rId2" w:history="1">
                  <w:r w:rsidR="00E160C1" w:rsidRPr="009757D1">
                    <w:rPr>
                      <w:rStyle w:val="Hyperlink"/>
                      <w:rFonts w:ascii="Minion-Regular" w:hAnsi="Minion-Regular"/>
                      <w:sz w:val="16"/>
                      <w:lang w:val="fr-FR"/>
                    </w:rPr>
                    <w:t>jim.dorff@stryker.com</w:t>
                  </w:r>
                </w:hyperlink>
              </w:p>
              <w:p w:rsidR="00E160C1" w:rsidRDefault="00E160C1" w:rsidP="007826DF">
                <w:pPr>
                  <w:autoSpaceDE w:val="0"/>
                  <w:autoSpaceDN w:val="0"/>
                  <w:adjustRightInd w:val="0"/>
                  <w:rPr>
                    <w:rFonts w:ascii="Minion-Regular" w:hAnsi="Minion-Regular"/>
                    <w:sz w:val="16"/>
                    <w:lang w:val="fr-FR"/>
                  </w:rPr>
                </w:pPr>
              </w:p>
            </w:txbxContent>
          </v:textbox>
          <w10:wrap anchorx="page" anchory="page"/>
        </v:shape>
      </w:pict>
    </w:r>
    <w:r>
      <w:rPr>
        <w:noProof/>
        <w:lang w:eastAsia="en-US"/>
      </w:rPr>
      <w:pict>
        <v:line id="_x0000_s2050" style="position:absolute;z-index:251657216;mso-position-horizontal-relative:text;mso-position-vertical-relative:text" from="386.75pt,68.85pt" to="540.35pt,68.85pt"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698A"/>
    <w:multiLevelType w:val="hybridMultilevel"/>
    <w:tmpl w:val="29005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D959A0"/>
    <w:multiLevelType w:val="hybridMultilevel"/>
    <w:tmpl w:val="1B66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26031"/>
    <w:multiLevelType w:val="hybridMultilevel"/>
    <w:tmpl w:val="FC2E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615241"/>
    <w:multiLevelType w:val="hybridMultilevel"/>
    <w:tmpl w:val="A10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spelling="clean" w:grammar="clean"/>
  <w:stylePaneFormatFilter w:val="3F01"/>
  <w:defaultTabStop w:val="720"/>
  <w:drawingGridHorizontalSpacing w:val="187"/>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92ECD"/>
    <w:rsid w:val="00070A6D"/>
    <w:rsid w:val="0009489B"/>
    <w:rsid w:val="000B5EB6"/>
    <w:rsid w:val="001169BB"/>
    <w:rsid w:val="00121391"/>
    <w:rsid w:val="00122150"/>
    <w:rsid w:val="001578AE"/>
    <w:rsid w:val="001C292B"/>
    <w:rsid w:val="00274D47"/>
    <w:rsid w:val="00281E40"/>
    <w:rsid w:val="0030105F"/>
    <w:rsid w:val="00321990"/>
    <w:rsid w:val="00333F14"/>
    <w:rsid w:val="00343D1B"/>
    <w:rsid w:val="00382AAE"/>
    <w:rsid w:val="003A312A"/>
    <w:rsid w:val="003E5F0C"/>
    <w:rsid w:val="003F3171"/>
    <w:rsid w:val="003F4C40"/>
    <w:rsid w:val="00411A26"/>
    <w:rsid w:val="00494E8B"/>
    <w:rsid w:val="004B4303"/>
    <w:rsid w:val="004F779B"/>
    <w:rsid w:val="005B3FA4"/>
    <w:rsid w:val="00612570"/>
    <w:rsid w:val="0068382A"/>
    <w:rsid w:val="00696670"/>
    <w:rsid w:val="006C3FF8"/>
    <w:rsid w:val="00724849"/>
    <w:rsid w:val="00726B3F"/>
    <w:rsid w:val="0075188B"/>
    <w:rsid w:val="007826DF"/>
    <w:rsid w:val="00792ECD"/>
    <w:rsid w:val="00795287"/>
    <w:rsid w:val="007A792A"/>
    <w:rsid w:val="007E3E6A"/>
    <w:rsid w:val="00816439"/>
    <w:rsid w:val="0087528E"/>
    <w:rsid w:val="00875C7D"/>
    <w:rsid w:val="008848D2"/>
    <w:rsid w:val="00887D74"/>
    <w:rsid w:val="00891C57"/>
    <w:rsid w:val="008D0059"/>
    <w:rsid w:val="00964FB2"/>
    <w:rsid w:val="009C61FD"/>
    <w:rsid w:val="00A429C3"/>
    <w:rsid w:val="00A44246"/>
    <w:rsid w:val="00AD35D5"/>
    <w:rsid w:val="00B16C82"/>
    <w:rsid w:val="00B57B89"/>
    <w:rsid w:val="00B93BC4"/>
    <w:rsid w:val="00BD3358"/>
    <w:rsid w:val="00C071FB"/>
    <w:rsid w:val="00C212C1"/>
    <w:rsid w:val="00C21C69"/>
    <w:rsid w:val="00C66DD9"/>
    <w:rsid w:val="00C867FE"/>
    <w:rsid w:val="00CC7C21"/>
    <w:rsid w:val="00CD08DE"/>
    <w:rsid w:val="00D13FF8"/>
    <w:rsid w:val="00D56579"/>
    <w:rsid w:val="00D76E4B"/>
    <w:rsid w:val="00DF4B28"/>
    <w:rsid w:val="00E04244"/>
    <w:rsid w:val="00E160C1"/>
    <w:rsid w:val="00E529E6"/>
    <w:rsid w:val="00EC58C5"/>
    <w:rsid w:val="00EE015B"/>
    <w:rsid w:val="00F05371"/>
    <w:rsid w:val="00F31C87"/>
    <w:rsid w:val="00F43AF5"/>
    <w:rsid w:val="00F755B1"/>
    <w:rsid w:val="00F92A8A"/>
    <w:rsid w:val="00FC2561"/>
    <w:rsid w:val="00FC3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05F"/>
    <w:rPr>
      <w:sz w:val="24"/>
      <w:szCs w:val="24"/>
      <w:lang w:eastAsia="ja-JP"/>
    </w:rPr>
  </w:style>
  <w:style w:type="paragraph" w:styleId="Heading1">
    <w:name w:val="heading 1"/>
    <w:basedOn w:val="Normal"/>
    <w:next w:val="Normal"/>
    <w:qFormat/>
    <w:rsid w:val="0030105F"/>
    <w:pPr>
      <w:keepNext/>
      <w:outlineLvl w:val="0"/>
    </w:pPr>
    <w:rPr>
      <w:rFonts w:ascii="Times" w:eastAsia="Times New Roman" w:hAnsi="Times"/>
      <w:b/>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0105F"/>
    <w:pPr>
      <w:tabs>
        <w:tab w:val="center" w:pos="4320"/>
        <w:tab w:val="right" w:pos="8640"/>
      </w:tabs>
    </w:pPr>
  </w:style>
  <w:style w:type="character" w:styleId="PageNumber">
    <w:name w:val="page number"/>
    <w:basedOn w:val="DefaultParagraphFont"/>
    <w:rsid w:val="0030105F"/>
  </w:style>
  <w:style w:type="paragraph" w:styleId="Header">
    <w:name w:val="header"/>
    <w:basedOn w:val="Normal"/>
    <w:rsid w:val="0030105F"/>
    <w:pPr>
      <w:tabs>
        <w:tab w:val="center" w:pos="4320"/>
        <w:tab w:val="right" w:pos="8640"/>
      </w:tabs>
    </w:pPr>
  </w:style>
  <w:style w:type="paragraph" w:styleId="BodyText">
    <w:name w:val="Body Text"/>
    <w:basedOn w:val="Normal"/>
    <w:rsid w:val="0030105F"/>
    <w:pPr>
      <w:spacing w:line="280" w:lineRule="exact"/>
    </w:pPr>
    <w:rPr>
      <w:sz w:val="22"/>
    </w:rPr>
  </w:style>
  <w:style w:type="paragraph" w:styleId="BalloonText">
    <w:name w:val="Balloon Text"/>
    <w:basedOn w:val="Normal"/>
    <w:link w:val="BalloonTextChar"/>
    <w:rsid w:val="00F43AF5"/>
    <w:rPr>
      <w:rFonts w:ascii="Tahoma" w:hAnsi="Tahoma" w:cs="Tahoma"/>
      <w:sz w:val="16"/>
      <w:szCs w:val="16"/>
    </w:rPr>
  </w:style>
  <w:style w:type="character" w:customStyle="1" w:styleId="BalloonTextChar">
    <w:name w:val="Balloon Text Char"/>
    <w:basedOn w:val="DefaultParagraphFont"/>
    <w:link w:val="BalloonText"/>
    <w:rsid w:val="00F43AF5"/>
    <w:rPr>
      <w:rFonts w:ascii="Tahoma" w:hAnsi="Tahoma" w:cs="Tahoma"/>
      <w:sz w:val="16"/>
      <w:szCs w:val="16"/>
      <w:lang w:eastAsia="ja-JP"/>
    </w:rPr>
  </w:style>
  <w:style w:type="character" w:styleId="Hyperlink">
    <w:name w:val="Hyperlink"/>
    <w:basedOn w:val="DefaultParagraphFont"/>
    <w:rsid w:val="00333F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jim.dorff@stryker.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Memo</vt:lpstr>
    </vt:vector>
  </TitlesOfParts>
  <Company>Stryker Corporation</Company>
  <LinksUpToDate>false</LinksUpToDate>
  <CharactersWithSpaces>2258</CharactersWithSpaces>
  <SharedDoc>false</SharedDoc>
  <HLinks>
    <vt:vector size="6" baseType="variant">
      <vt:variant>
        <vt:i4>196717</vt:i4>
      </vt:variant>
      <vt:variant>
        <vt:i4>0</vt:i4>
      </vt:variant>
      <vt:variant>
        <vt:i4>0</vt:i4>
      </vt:variant>
      <vt:variant>
        <vt:i4>5</vt:i4>
      </vt:variant>
      <vt:variant>
        <vt:lpwstr>mailto:jim.dorff@stryker.com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sewing</dc:creator>
  <cp:lastModifiedBy>Aaron Gamache</cp:lastModifiedBy>
  <cp:revision>2</cp:revision>
  <cp:lastPrinted>2011-02-28T20:40:00Z</cp:lastPrinted>
  <dcterms:created xsi:type="dcterms:W3CDTF">2011-05-12T14:25:00Z</dcterms:created>
  <dcterms:modified xsi:type="dcterms:W3CDTF">2011-05-12T14:25:00Z</dcterms:modified>
</cp:coreProperties>
</file>